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972F0" w14:textId="56B912EB" w:rsidR="00D55A8C" w:rsidRDefault="00D55A8C" w:rsidP="00D55A8C">
      <w:pPr>
        <w:shd w:val="clear" w:color="auto" w:fill="0A0096"/>
        <w:jc w:val="center"/>
        <w:rPr>
          <w:rFonts w:ascii="Arial" w:eastAsia="Times New Roman" w:hAnsi="Arial" w:cs="Arial"/>
          <w:b/>
          <w:caps/>
          <w:color w:val="FFFFFF"/>
          <w:kern w:val="0"/>
          <w:sz w:val="28"/>
          <w:szCs w:val="28"/>
          <w:lang w:eastAsia="fr-FR"/>
          <w14:ligatures w14:val="none"/>
        </w:rPr>
      </w:pPr>
      <w:r>
        <w:rPr>
          <w:rFonts w:ascii="Arial" w:eastAsia="Times New Roman" w:hAnsi="Arial" w:cs="Arial"/>
          <w:b/>
          <w:caps/>
          <w:color w:val="FFFFFF"/>
          <w:kern w:val="0"/>
          <w:sz w:val="28"/>
          <w:szCs w:val="28"/>
          <w:lang w:eastAsia="fr-FR"/>
          <w14:ligatures w14:val="none"/>
        </w:rPr>
        <w:t>CADRE DE RéPONSE TECHNIQUE</w:t>
      </w:r>
    </w:p>
    <w:p w14:paraId="4525FE3D" w14:textId="77777777" w:rsidR="00D55A8C" w:rsidRPr="00D55A8C" w:rsidRDefault="00D55A8C" w:rsidP="00D55A8C">
      <w:pPr>
        <w:jc w:val="both"/>
        <w:rPr>
          <w:rFonts w:ascii="Arial" w:eastAsia="Times New Roman" w:hAnsi="Arial" w:cs="Arial"/>
          <w:bCs/>
          <w:caps/>
          <w:kern w:val="0"/>
          <w:sz w:val="20"/>
          <w:szCs w:val="20"/>
          <w:lang w:eastAsia="fr-FR"/>
          <w14:ligatures w14:val="none"/>
        </w:rPr>
      </w:pPr>
    </w:p>
    <w:p w14:paraId="17C9F534" w14:textId="53505622" w:rsidR="00D55A8C" w:rsidRPr="00D55A8C" w:rsidRDefault="00D55A8C" w:rsidP="00D55A8C">
      <w:pPr>
        <w:pStyle w:val="Paragraphedeliste"/>
        <w:numPr>
          <w:ilvl w:val="0"/>
          <w:numId w:val="2"/>
        </w:numPr>
        <w:jc w:val="both"/>
        <w:rPr>
          <w:rFonts w:ascii="Arial" w:eastAsia="Times New Roman" w:hAnsi="Arial" w:cs="Arial"/>
          <w:b/>
          <w:caps/>
          <w:color w:val="0A0096"/>
          <w:kern w:val="0"/>
          <w:sz w:val="20"/>
          <w:szCs w:val="20"/>
          <w:lang w:eastAsia="fr-FR"/>
          <w14:ligatures w14:val="none"/>
        </w:rPr>
      </w:pPr>
      <w:r w:rsidRPr="00D55A8C">
        <w:rPr>
          <w:rFonts w:ascii="Arial" w:eastAsia="Times New Roman" w:hAnsi="Arial" w:cs="Arial"/>
          <w:b/>
          <w:caps/>
          <w:color w:val="0A0096"/>
          <w:kern w:val="0"/>
          <w:sz w:val="20"/>
          <w:szCs w:val="20"/>
          <w:lang w:eastAsia="fr-FR"/>
          <w14:ligatures w14:val="none"/>
        </w:rPr>
        <w:t>Critère technique</w:t>
      </w:r>
    </w:p>
    <w:p w14:paraId="792B598E" w14:textId="665A5DBD" w:rsidR="00D55A8C" w:rsidRPr="00D55A8C" w:rsidRDefault="00D55A8C" w:rsidP="00D55A8C">
      <w:pPr>
        <w:pStyle w:val="Paragraphedeliste"/>
        <w:numPr>
          <w:ilvl w:val="1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D55A8C">
        <w:rPr>
          <w:rFonts w:ascii="Arial" w:eastAsia="Times New Roman" w:hAnsi="Arial" w:cs="Arial"/>
          <w:b/>
          <w:caps/>
          <w:color w:val="0A0096"/>
          <w:kern w:val="0"/>
          <w:sz w:val="20"/>
          <w:szCs w:val="20"/>
          <w:lang w:eastAsia="fr-FR"/>
          <w14:ligatures w14:val="none"/>
        </w:rPr>
        <w:t>Solution technique proposée ;</w:t>
      </w:r>
    </w:p>
    <w:p w14:paraId="534E454D" w14:textId="749315BE" w:rsidR="00D55A8C" w:rsidRPr="00D55A8C" w:rsidRDefault="00D55A8C" w:rsidP="00D55A8C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D55A8C">
        <w:rPr>
          <w:rFonts w:ascii="Arial" w:hAnsi="Arial" w:cs="Arial"/>
          <w:bCs/>
          <w:i/>
          <w:iCs/>
          <w:sz w:val="20"/>
          <w:szCs w:val="20"/>
        </w:rPr>
        <w:t xml:space="preserve">Le soumissionnaire détaille la solution technique </w:t>
      </w:r>
      <w:r>
        <w:rPr>
          <w:rFonts w:ascii="Arial" w:hAnsi="Arial" w:cs="Arial"/>
          <w:bCs/>
          <w:i/>
          <w:iCs/>
          <w:sz w:val="20"/>
          <w:szCs w:val="20"/>
        </w:rPr>
        <w:t>qu’il propose en indiquant en quoi elle répond aux spécifications techniques décrites dans le cahier des charges</w:t>
      </w:r>
      <w:r w:rsidRPr="00D55A8C">
        <w:rPr>
          <w:rFonts w:ascii="Arial" w:hAnsi="Arial" w:cs="Arial"/>
          <w:bCs/>
          <w:i/>
          <w:iCs/>
          <w:sz w:val="20"/>
          <w:szCs w:val="20"/>
        </w:rPr>
        <w:t xml:space="preserve">. </w:t>
      </w:r>
      <w:r w:rsidR="00307CA7">
        <w:rPr>
          <w:rFonts w:ascii="Arial" w:hAnsi="Arial" w:cs="Arial"/>
          <w:bCs/>
          <w:i/>
          <w:iCs/>
          <w:sz w:val="20"/>
          <w:szCs w:val="20"/>
        </w:rPr>
        <w:t>Dans le cas de la variante 1, le soumissionnaire détaille également la solution de pot doseur avec régulation en température.</w:t>
      </w:r>
    </w:p>
    <w:p w14:paraId="16E229E0" w14:textId="77777777" w:rsidR="00D55A8C" w:rsidRPr="00D55A8C" w:rsidRDefault="00D55A8C" w:rsidP="00D55A8C">
      <w:pPr>
        <w:rPr>
          <w:rFonts w:ascii="Arial" w:eastAsia="Times New Roman" w:hAnsi="Arial" w:cs="Arial"/>
          <w:bCs/>
          <w:caps/>
          <w:kern w:val="0"/>
          <w:sz w:val="20"/>
          <w:szCs w:val="20"/>
          <w:lang w:eastAsia="fr-FR"/>
          <w14:ligatures w14:val="none"/>
        </w:rPr>
      </w:pPr>
    </w:p>
    <w:p w14:paraId="761BED83" w14:textId="77777777" w:rsidR="00D55A8C" w:rsidRPr="00D55A8C" w:rsidRDefault="00D55A8C" w:rsidP="00D55A8C">
      <w:pPr>
        <w:rPr>
          <w:rFonts w:ascii="Arial" w:eastAsia="Times New Roman" w:hAnsi="Arial" w:cs="Arial"/>
          <w:bCs/>
          <w:caps/>
          <w:kern w:val="0"/>
          <w:sz w:val="20"/>
          <w:szCs w:val="20"/>
          <w:lang w:eastAsia="fr-FR"/>
          <w14:ligatures w14:val="none"/>
        </w:rPr>
      </w:pPr>
    </w:p>
    <w:p w14:paraId="0F17A675" w14:textId="03CCE5F2" w:rsidR="00D55A8C" w:rsidRPr="00D55A8C" w:rsidRDefault="00D55A8C" w:rsidP="00D55A8C">
      <w:pPr>
        <w:pStyle w:val="Paragraphedeliste"/>
        <w:numPr>
          <w:ilvl w:val="1"/>
          <w:numId w:val="2"/>
        </w:numPr>
        <w:jc w:val="both"/>
        <w:rPr>
          <w:rFonts w:ascii="Arial" w:eastAsia="Times New Roman" w:hAnsi="Arial" w:cs="Arial"/>
          <w:b/>
          <w:caps/>
          <w:color w:val="0A0096"/>
          <w:kern w:val="0"/>
          <w:sz w:val="20"/>
          <w:szCs w:val="20"/>
          <w:lang w:eastAsia="fr-FR"/>
          <w14:ligatures w14:val="none"/>
        </w:rPr>
      </w:pPr>
      <w:r w:rsidRPr="00D55A8C">
        <w:rPr>
          <w:rFonts w:ascii="Arial" w:eastAsia="Times New Roman" w:hAnsi="Arial" w:cs="Arial"/>
          <w:b/>
          <w:caps/>
          <w:color w:val="0A0096"/>
          <w:kern w:val="0"/>
          <w:sz w:val="20"/>
          <w:szCs w:val="20"/>
          <w:lang w:eastAsia="fr-FR"/>
          <w14:ligatures w14:val="none"/>
        </w:rPr>
        <w:t>Qualité des matériaux proposés ;</w:t>
      </w:r>
    </w:p>
    <w:p w14:paraId="625845EE" w14:textId="4B0D0B15" w:rsidR="00D55A8C" w:rsidRPr="00D55A8C" w:rsidRDefault="00D55A8C" w:rsidP="00D55A8C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L</w:t>
      </w:r>
      <w:r w:rsidRPr="00D55A8C">
        <w:rPr>
          <w:rFonts w:ascii="Arial" w:hAnsi="Arial" w:cs="Arial"/>
          <w:bCs/>
          <w:i/>
          <w:iCs/>
          <w:sz w:val="20"/>
          <w:szCs w:val="20"/>
        </w:rPr>
        <w:t xml:space="preserve">e soumissionnaire indique la liste des </w:t>
      </w:r>
      <w:r w:rsidR="00A13802" w:rsidRPr="00D55A8C">
        <w:rPr>
          <w:rFonts w:ascii="Arial" w:hAnsi="Arial" w:cs="Arial"/>
          <w:bCs/>
          <w:i/>
          <w:iCs/>
          <w:sz w:val="20"/>
          <w:szCs w:val="20"/>
        </w:rPr>
        <w:t>matériaux</w:t>
      </w:r>
      <w:r w:rsidRPr="00D55A8C">
        <w:rPr>
          <w:rFonts w:ascii="Arial" w:hAnsi="Arial" w:cs="Arial"/>
          <w:bCs/>
          <w:i/>
          <w:iCs/>
          <w:sz w:val="20"/>
          <w:szCs w:val="20"/>
        </w:rPr>
        <w:t xml:space="preserve"> qui entre</w:t>
      </w:r>
      <w:r>
        <w:rPr>
          <w:rFonts w:ascii="Arial" w:hAnsi="Arial" w:cs="Arial"/>
          <w:bCs/>
          <w:i/>
          <w:iCs/>
          <w:sz w:val="20"/>
          <w:szCs w:val="20"/>
        </w:rPr>
        <w:t>nt</w:t>
      </w:r>
      <w:r w:rsidRPr="00D55A8C">
        <w:rPr>
          <w:rFonts w:ascii="Arial" w:hAnsi="Arial" w:cs="Arial"/>
          <w:bCs/>
          <w:i/>
          <w:iCs/>
          <w:sz w:val="20"/>
          <w:szCs w:val="20"/>
        </w:rPr>
        <w:t xml:space="preserve"> dans la composition de la fourniture et ses accessoires</w:t>
      </w:r>
      <w:r>
        <w:rPr>
          <w:rFonts w:ascii="Arial" w:hAnsi="Arial" w:cs="Arial"/>
          <w:bCs/>
          <w:i/>
          <w:iCs/>
          <w:sz w:val="20"/>
          <w:szCs w:val="20"/>
        </w:rPr>
        <w:t>. Il précise en quoi ces matières sont conformes aux spécifications techniques.</w:t>
      </w:r>
    </w:p>
    <w:p w14:paraId="08CDABD4" w14:textId="77777777" w:rsidR="00D55A8C" w:rsidRPr="00D55A8C" w:rsidRDefault="00D55A8C" w:rsidP="00D55A8C">
      <w:pPr>
        <w:rPr>
          <w:rFonts w:ascii="Arial" w:eastAsia="Times New Roman" w:hAnsi="Arial" w:cs="Arial"/>
          <w:bCs/>
          <w:caps/>
          <w:kern w:val="0"/>
          <w:sz w:val="20"/>
          <w:szCs w:val="20"/>
          <w:lang w:eastAsia="fr-FR"/>
          <w14:ligatures w14:val="none"/>
        </w:rPr>
      </w:pPr>
    </w:p>
    <w:p w14:paraId="696A1319" w14:textId="77777777" w:rsidR="00D55A8C" w:rsidRPr="00D55A8C" w:rsidRDefault="00D55A8C" w:rsidP="00D55A8C">
      <w:pPr>
        <w:rPr>
          <w:rFonts w:ascii="Arial" w:eastAsia="Times New Roman" w:hAnsi="Arial" w:cs="Arial"/>
          <w:bCs/>
          <w:caps/>
          <w:kern w:val="0"/>
          <w:sz w:val="20"/>
          <w:szCs w:val="20"/>
          <w:lang w:eastAsia="fr-FR"/>
          <w14:ligatures w14:val="none"/>
        </w:rPr>
      </w:pPr>
    </w:p>
    <w:p w14:paraId="19599DEA" w14:textId="6D68FB73" w:rsidR="00D55A8C" w:rsidRPr="00D55A8C" w:rsidRDefault="00D55A8C" w:rsidP="00D55A8C">
      <w:pPr>
        <w:pStyle w:val="Paragraphedeliste"/>
        <w:numPr>
          <w:ilvl w:val="1"/>
          <w:numId w:val="2"/>
        </w:numPr>
        <w:jc w:val="both"/>
        <w:rPr>
          <w:rFonts w:ascii="Arial" w:eastAsia="Times New Roman" w:hAnsi="Arial" w:cs="Arial"/>
          <w:b/>
          <w:caps/>
          <w:color w:val="0A0096"/>
          <w:kern w:val="0"/>
          <w:sz w:val="20"/>
          <w:szCs w:val="20"/>
          <w:lang w:eastAsia="fr-FR"/>
          <w14:ligatures w14:val="none"/>
        </w:rPr>
      </w:pPr>
      <w:r w:rsidRPr="00D55A8C">
        <w:rPr>
          <w:rFonts w:ascii="Arial" w:eastAsia="Times New Roman" w:hAnsi="Arial" w:cs="Arial"/>
          <w:b/>
          <w:caps/>
          <w:color w:val="0A0096"/>
          <w:kern w:val="0"/>
          <w:sz w:val="20"/>
          <w:szCs w:val="20"/>
          <w:lang w:eastAsia="fr-FR"/>
          <w14:ligatures w14:val="none"/>
        </w:rPr>
        <w:t>Références adaptées ;</w:t>
      </w:r>
    </w:p>
    <w:p w14:paraId="04B59575" w14:textId="41345317" w:rsidR="00D55A8C" w:rsidRDefault="00D55A8C" w:rsidP="00D55A8C">
      <w:pPr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L</w:t>
      </w:r>
      <w:r w:rsidRPr="00D55A8C">
        <w:rPr>
          <w:rFonts w:ascii="Arial" w:hAnsi="Arial" w:cs="Arial"/>
          <w:bCs/>
          <w:i/>
          <w:iCs/>
          <w:sz w:val="20"/>
          <w:szCs w:val="20"/>
        </w:rPr>
        <w:t xml:space="preserve">e soumissionnaire 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communique des </w:t>
      </w:r>
      <w:r w:rsidRPr="00D55A8C">
        <w:rPr>
          <w:rFonts w:ascii="Arial" w:hAnsi="Arial" w:cs="Arial"/>
          <w:bCs/>
          <w:i/>
          <w:iCs/>
          <w:sz w:val="20"/>
          <w:szCs w:val="20"/>
        </w:rPr>
        <w:t>tests de faisabilité ou des références adaptées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, qui permettent de confirmer que la fourniture est adaptée pour le type d’application demandée dans les spécifications techniques. </w:t>
      </w:r>
    </w:p>
    <w:p w14:paraId="7C97DF34" w14:textId="77777777" w:rsidR="00D55A8C" w:rsidRPr="00D55A8C" w:rsidRDefault="00D55A8C" w:rsidP="00D55A8C">
      <w:pPr>
        <w:rPr>
          <w:rFonts w:ascii="Arial" w:hAnsi="Arial" w:cs="Arial"/>
          <w:bCs/>
          <w:sz w:val="20"/>
          <w:szCs w:val="20"/>
        </w:rPr>
      </w:pPr>
    </w:p>
    <w:p w14:paraId="59DB14E6" w14:textId="77777777" w:rsidR="00D55A8C" w:rsidRPr="00D55A8C" w:rsidRDefault="00D55A8C" w:rsidP="00D55A8C">
      <w:pPr>
        <w:rPr>
          <w:rFonts w:ascii="Arial" w:hAnsi="Arial" w:cs="Arial"/>
          <w:bCs/>
          <w:sz w:val="20"/>
          <w:szCs w:val="20"/>
        </w:rPr>
      </w:pPr>
    </w:p>
    <w:p w14:paraId="0EB10A55" w14:textId="4426D255" w:rsidR="00D55A8C" w:rsidRPr="00D55A8C" w:rsidRDefault="00D55A8C" w:rsidP="00D55A8C">
      <w:pPr>
        <w:pStyle w:val="Paragraphedeliste"/>
        <w:numPr>
          <w:ilvl w:val="1"/>
          <w:numId w:val="2"/>
        </w:numPr>
        <w:jc w:val="both"/>
        <w:rPr>
          <w:rFonts w:ascii="Arial" w:eastAsia="Times New Roman" w:hAnsi="Arial" w:cs="Arial"/>
          <w:b/>
          <w:caps/>
          <w:color w:val="0A0096"/>
          <w:kern w:val="0"/>
          <w:sz w:val="20"/>
          <w:szCs w:val="20"/>
          <w:lang w:eastAsia="fr-FR"/>
          <w14:ligatures w14:val="none"/>
        </w:rPr>
      </w:pPr>
      <w:r w:rsidRPr="00D55A8C">
        <w:rPr>
          <w:rFonts w:ascii="Arial" w:eastAsia="Times New Roman" w:hAnsi="Arial" w:cs="Arial"/>
          <w:b/>
          <w:caps/>
          <w:color w:val="0A0096"/>
          <w:kern w:val="0"/>
          <w:sz w:val="20"/>
          <w:szCs w:val="20"/>
          <w:lang w:eastAsia="fr-FR"/>
          <w14:ligatures w14:val="none"/>
        </w:rPr>
        <w:t>Dimensions de la fourniture.</w:t>
      </w:r>
    </w:p>
    <w:p w14:paraId="6C86484C" w14:textId="1DAC597D" w:rsidR="00D55A8C" w:rsidRDefault="00D55A8C" w:rsidP="00E600D5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D55A8C">
        <w:rPr>
          <w:rFonts w:ascii="Arial" w:hAnsi="Arial" w:cs="Arial"/>
          <w:bCs/>
          <w:i/>
          <w:iCs/>
          <w:sz w:val="20"/>
          <w:szCs w:val="20"/>
        </w:rPr>
        <w:t xml:space="preserve">Le soumissionnaire indique l’ensemble des dimensions </w:t>
      </w:r>
      <w:r w:rsidR="00E600D5">
        <w:rPr>
          <w:rFonts w:ascii="Arial" w:hAnsi="Arial" w:cs="Arial"/>
          <w:bCs/>
          <w:i/>
          <w:iCs/>
          <w:sz w:val="20"/>
          <w:szCs w:val="20"/>
        </w:rPr>
        <w:t xml:space="preserve">de </w:t>
      </w:r>
      <w:r w:rsidR="00E600D5" w:rsidRPr="00E600D5">
        <w:rPr>
          <w:rFonts w:ascii="Arial" w:hAnsi="Arial" w:cs="Arial"/>
          <w:bCs/>
          <w:i/>
          <w:iCs/>
          <w:sz w:val="20"/>
          <w:szCs w:val="20"/>
        </w:rPr>
        <w:t>l’équipement principal ainsi que l’espace nécessaire autour de l’appareil pour les raccordements fluides et extraction.</w:t>
      </w:r>
      <w:r w:rsidR="00E600D5">
        <w:rPr>
          <w:rFonts w:ascii="Arial" w:hAnsi="Arial" w:cs="Arial"/>
          <w:bCs/>
          <w:i/>
          <w:iCs/>
          <w:sz w:val="20"/>
          <w:szCs w:val="20"/>
        </w:rPr>
        <w:t xml:space="preserve"> Il indique </w:t>
      </w:r>
      <w:r w:rsidR="00E600D5" w:rsidRPr="00E600D5">
        <w:rPr>
          <w:rFonts w:ascii="Arial" w:hAnsi="Arial" w:cs="Arial"/>
          <w:bCs/>
          <w:i/>
          <w:iCs/>
          <w:sz w:val="20"/>
          <w:szCs w:val="20"/>
        </w:rPr>
        <w:t>tous les éléments nécessaires à l’adaptation des locaux en vue de la mise en place de la micro-extrudeuse</w:t>
      </w:r>
      <w:r w:rsidR="00E600D5">
        <w:rPr>
          <w:rFonts w:ascii="Arial" w:hAnsi="Arial" w:cs="Arial"/>
          <w:bCs/>
          <w:i/>
          <w:iCs/>
          <w:sz w:val="20"/>
          <w:szCs w:val="20"/>
        </w:rPr>
        <w:t>.</w:t>
      </w:r>
    </w:p>
    <w:p w14:paraId="1E1C7A63" w14:textId="77777777" w:rsidR="00D55A8C" w:rsidRDefault="00D55A8C" w:rsidP="00D55A8C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0A23D98C" w14:textId="77777777" w:rsidR="00D55A8C" w:rsidRDefault="00D55A8C" w:rsidP="00D55A8C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3CED7830" w14:textId="4469A057" w:rsidR="00D55A8C" w:rsidRPr="00D55A8C" w:rsidRDefault="00D55A8C" w:rsidP="00D55A8C">
      <w:pPr>
        <w:pStyle w:val="Paragraphedeliste"/>
        <w:numPr>
          <w:ilvl w:val="0"/>
          <w:numId w:val="2"/>
        </w:numPr>
        <w:jc w:val="both"/>
        <w:rPr>
          <w:rFonts w:ascii="Arial" w:eastAsia="Times New Roman" w:hAnsi="Arial" w:cs="Arial"/>
          <w:b/>
          <w:caps/>
          <w:color w:val="0A0096"/>
          <w:kern w:val="0"/>
          <w:sz w:val="20"/>
          <w:szCs w:val="20"/>
          <w:lang w:eastAsia="fr-FR"/>
          <w14:ligatures w14:val="none"/>
        </w:rPr>
      </w:pPr>
      <w:r w:rsidRPr="00D55A8C">
        <w:rPr>
          <w:rFonts w:ascii="Arial" w:eastAsia="Times New Roman" w:hAnsi="Arial" w:cs="Arial"/>
          <w:b/>
          <w:caps/>
          <w:color w:val="0A0096"/>
          <w:kern w:val="0"/>
          <w:sz w:val="20"/>
          <w:szCs w:val="20"/>
          <w:lang w:eastAsia="fr-FR"/>
          <w14:ligatures w14:val="none"/>
        </w:rPr>
        <w:t xml:space="preserve">Délais </w:t>
      </w:r>
    </w:p>
    <w:p w14:paraId="5D09A0CD" w14:textId="49B6041F" w:rsidR="00D55A8C" w:rsidRDefault="00D55A8C" w:rsidP="00307CA7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Le soumissionnaire indique ici le planning de l’ensemble de l’affaire incluant </w:t>
      </w:r>
      <w:r w:rsidR="00307CA7">
        <w:rPr>
          <w:rFonts w:ascii="Arial" w:hAnsi="Arial" w:cs="Arial"/>
          <w:bCs/>
          <w:i/>
          <w:iCs/>
          <w:sz w:val="20"/>
          <w:szCs w:val="20"/>
        </w:rPr>
        <w:t xml:space="preserve">la réunion d’enclenchement, 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le </w:t>
      </w:r>
      <w:r w:rsidR="00307CA7">
        <w:rPr>
          <w:rFonts w:ascii="Arial" w:hAnsi="Arial" w:cs="Arial"/>
          <w:bCs/>
          <w:i/>
          <w:iCs/>
          <w:sz w:val="20"/>
          <w:szCs w:val="20"/>
        </w:rPr>
        <w:t>délai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d’approvisionnement,</w:t>
      </w:r>
      <w:r w:rsidR="00307CA7">
        <w:rPr>
          <w:rFonts w:ascii="Arial" w:hAnsi="Arial" w:cs="Arial"/>
          <w:bCs/>
          <w:i/>
          <w:iCs/>
          <w:sz w:val="20"/>
          <w:szCs w:val="20"/>
        </w:rPr>
        <w:t xml:space="preserve"> le délai de recette en usine,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le </w:t>
      </w:r>
      <w:r w:rsidR="00307CA7">
        <w:rPr>
          <w:rFonts w:ascii="Arial" w:hAnsi="Arial" w:cs="Arial"/>
          <w:bCs/>
          <w:i/>
          <w:iCs/>
          <w:sz w:val="20"/>
          <w:szCs w:val="20"/>
        </w:rPr>
        <w:t>délai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de livraison, le </w:t>
      </w:r>
      <w:r w:rsidR="00307CA7">
        <w:rPr>
          <w:rFonts w:ascii="Arial" w:hAnsi="Arial" w:cs="Arial"/>
          <w:bCs/>
          <w:i/>
          <w:iCs/>
          <w:sz w:val="20"/>
          <w:szCs w:val="20"/>
        </w:rPr>
        <w:t>délai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d’installation</w:t>
      </w:r>
      <w:r w:rsidR="00307CA7">
        <w:rPr>
          <w:rFonts w:ascii="Arial" w:hAnsi="Arial" w:cs="Arial"/>
          <w:bCs/>
          <w:i/>
          <w:iCs/>
          <w:sz w:val="20"/>
          <w:szCs w:val="20"/>
        </w:rPr>
        <w:t xml:space="preserve"> et mise en service</w:t>
      </w:r>
      <w:r>
        <w:rPr>
          <w:rFonts w:ascii="Arial" w:hAnsi="Arial" w:cs="Arial"/>
          <w:bCs/>
          <w:i/>
          <w:iCs/>
          <w:sz w:val="20"/>
          <w:szCs w:val="20"/>
        </w:rPr>
        <w:t>, le temps des essais de réception et</w:t>
      </w:r>
      <w:r w:rsidR="008C41FD">
        <w:rPr>
          <w:rFonts w:ascii="Arial" w:hAnsi="Arial" w:cs="Arial"/>
          <w:bCs/>
          <w:i/>
          <w:iCs/>
          <w:sz w:val="20"/>
          <w:szCs w:val="20"/>
        </w:rPr>
        <w:t>,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8C41FD">
        <w:rPr>
          <w:rFonts w:ascii="Arial" w:hAnsi="Arial" w:cs="Arial"/>
          <w:bCs/>
          <w:i/>
          <w:iCs/>
          <w:sz w:val="20"/>
          <w:szCs w:val="20"/>
        </w:rPr>
        <w:t xml:space="preserve">pour la variante facultative 2, </w:t>
      </w:r>
      <w:r>
        <w:rPr>
          <w:rFonts w:ascii="Arial" w:hAnsi="Arial" w:cs="Arial"/>
          <w:bCs/>
          <w:i/>
          <w:iCs/>
          <w:sz w:val="20"/>
          <w:szCs w:val="20"/>
        </w:rPr>
        <w:t>le délai d</w:t>
      </w:r>
      <w:r w:rsidR="008C41FD">
        <w:rPr>
          <w:rFonts w:ascii="Arial" w:hAnsi="Arial" w:cs="Arial"/>
          <w:bCs/>
          <w:i/>
          <w:iCs/>
          <w:sz w:val="20"/>
          <w:szCs w:val="20"/>
        </w:rPr>
        <w:t>’</w:t>
      </w:r>
      <w:r>
        <w:rPr>
          <w:rFonts w:ascii="Arial" w:hAnsi="Arial" w:cs="Arial"/>
          <w:bCs/>
          <w:i/>
          <w:iCs/>
          <w:sz w:val="20"/>
          <w:szCs w:val="20"/>
        </w:rPr>
        <w:t>e</w:t>
      </w:r>
      <w:r w:rsidR="008C41FD">
        <w:rPr>
          <w:rFonts w:ascii="Arial" w:hAnsi="Arial" w:cs="Arial"/>
          <w:bCs/>
          <w:i/>
          <w:iCs/>
          <w:sz w:val="20"/>
          <w:szCs w:val="20"/>
        </w:rPr>
        <w:t>xtension de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garantie qu’il entend mettre en œuvre.</w:t>
      </w:r>
      <w:r w:rsidR="00307CA7" w:rsidRPr="00307CA7">
        <w:t xml:space="preserve"> </w:t>
      </w:r>
    </w:p>
    <w:p w14:paraId="0ADD02A6" w14:textId="1CC52F70" w:rsidR="00D55A8C" w:rsidRPr="00D55A8C" w:rsidRDefault="00D55A8C" w:rsidP="00D55A8C">
      <w:pPr>
        <w:jc w:val="both"/>
        <w:rPr>
          <w:rFonts w:ascii="Arial" w:hAnsi="Arial" w:cs="Arial"/>
          <w:bCs/>
          <w:sz w:val="20"/>
          <w:szCs w:val="20"/>
        </w:rPr>
      </w:pPr>
    </w:p>
    <w:p w14:paraId="3DF3E8B0" w14:textId="77777777" w:rsidR="00D55A8C" w:rsidRDefault="00D55A8C" w:rsidP="00D55A8C">
      <w:pPr>
        <w:jc w:val="both"/>
        <w:rPr>
          <w:rFonts w:ascii="Arial" w:hAnsi="Arial" w:cs="Arial"/>
          <w:bCs/>
          <w:sz w:val="20"/>
          <w:szCs w:val="20"/>
        </w:rPr>
      </w:pPr>
    </w:p>
    <w:p w14:paraId="5042B558" w14:textId="6D5EE5F9" w:rsidR="008C41FD" w:rsidRPr="008C41FD" w:rsidRDefault="008C41FD" w:rsidP="008C41FD">
      <w:pPr>
        <w:pStyle w:val="Paragraphedeliste"/>
        <w:numPr>
          <w:ilvl w:val="0"/>
          <w:numId w:val="2"/>
        </w:numPr>
        <w:jc w:val="both"/>
        <w:rPr>
          <w:rFonts w:ascii="Arial" w:eastAsia="Times New Roman" w:hAnsi="Arial" w:cs="Arial"/>
          <w:b/>
          <w:caps/>
          <w:color w:val="0A0096"/>
          <w:kern w:val="0"/>
          <w:sz w:val="20"/>
          <w:szCs w:val="20"/>
          <w:lang w:eastAsia="fr-FR"/>
          <w14:ligatures w14:val="none"/>
        </w:rPr>
      </w:pPr>
      <w:r w:rsidRPr="008C41FD">
        <w:rPr>
          <w:rFonts w:ascii="Arial" w:eastAsia="Times New Roman" w:hAnsi="Arial" w:cs="Arial"/>
          <w:b/>
          <w:caps/>
          <w:color w:val="0A0096"/>
          <w:kern w:val="0"/>
          <w:sz w:val="20"/>
          <w:szCs w:val="20"/>
          <w:lang w:eastAsia="fr-FR"/>
          <w14:ligatures w14:val="none"/>
        </w:rPr>
        <w:t xml:space="preserve">Développement durable </w:t>
      </w:r>
    </w:p>
    <w:p w14:paraId="3A7BE933" w14:textId="0577D907" w:rsidR="008C41FD" w:rsidRPr="008C41FD" w:rsidRDefault="00026B20" w:rsidP="008C41FD">
      <w:pPr>
        <w:pStyle w:val="Paragraphedeliste"/>
        <w:numPr>
          <w:ilvl w:val="1"/>
          <w:numId w:val="2"/>
        </w:numPr>
        <w:jc w:val="both"/>
        <w:rPr>
          <w:rFonts w:ascii="Arial" w:eastAsia="Times New Roman" w:hAnsi="Arial" w:cs="Arial"/>
          <w:b/>
          <w:caps/>
          <w:color w:val="0A0096"/>
          <w:kern w:val="0"/>
          <w:sz w:val="20"/>
          <w:szCs w:val="20"/>
          <w:lang w:eastAsia="fr-FR"/>
          <w14:ligatures w14:val="none"/>
        </w:rPr>
      </w:pPr>
      <w:r>
        <w:rPr>
          <w:rFonts w:ascii="Arial" w:eastAsia="Times New Roman" w:hAnsi="Arial" w:cs="Arial"/>
          <w:b/>
          <w:caps/>
          <w:color w:val="0A0096"/>
          <w:kern w:val="0"/>
          <w:sz w:val="20"/>
          <w:szCs w:val="20"/>
          <w:lang w:eastAsia="fr-FR"/>
          <w14:ligatures w14:val="none"/>
        </w:rPr>
        <w:t>Durabilité et réparabilité</w:t>
      </w:r>
      <w:r w:rsidR="008C41FD" w:rsidRPr="008C41FD">
        <w:rPr>
          <w:rFonts w:ascii="Arial" w:eastAsia="Times New Roman" w:hAnsi="Arial" w:cs="Arial"/>
          <w:b/>
          <w:caps/>
          <w:color w:val="0A0096"/>
          <w:kern w:val="0"/>
          <w:sz w:val="20"/>
          <w:szCs w:val="20"/>
          <w:lang w:eastAsia="fr-FR"/>
          <w14:ligatures w14:val="none"/>
        </w:rPr>
        <w:t xml:space="preserve"> </w:t>
      </w:r>
      <w:r>
        <w:rPr>
          <w:rFonts w:ascii="Arial" w:eastAsia="Times New Roman" w:hAnsi="Arial" w:cs="Arial"/>
          <w:b/>
          <w:caps/>
          <w:color w:val="0A0096"/>
          <w:kern w:val="0"/>
          <w:sz w:val="20"/>
          <w:szCs w:val="20"/>
          <w:lang w:eastAsia="fr-FR"/>
          <w14:ligatures w14:val="none"/>
        </w:rPr>
        <w:t>de la fourniture</w:t>
      </w:r>
    </w:p>
    <w:p w14:paraId="3987EEEA" w14:textId="654F0C29" w:rsidR="008C41FD" w:rsidRDefault="008C41FD" w:rsidP="008C41FD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Le soumissionnaire détail la </w:t>
      </w:r>
      <w:r w:rsidR="00026B20">
        <w:rPr>
          <w:rFonts w:ascii="Arial" w:hAnsi="Arial" w:cs="Arial"/>
          <w:bCs/>
          <w:i/>
          <w:iCs/>
          <w:sz w:val="20"/>
          <w:szCs w:val="20"/>
        </w:rPr>
        <w:t>durabilité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de la fourniture ainsi que de l’ensemble des consommables proposés</w:t>
      </w:r>
      <w:r w:rsidR="00026B20">
        <w:rPr>
          <w:rFonts w:ascii="Arial" w:hAnsi="Arial" w:cs="Arial"/>
          <w:bCs/>
          <w:i/>
          <w:iCs/>
          <w:sz w:val="20"/>
          <w:szCs w:val="20"/>
        </w:rPr>
        <w:t>, c’est-à-dire sa capacité à rester fonctionnel sans maintenance nécessaire ou de réparation excessive</w:t>
      </w:r>
      <w:r>
        <w:rPr>
          <w:rFonts w:ascii="Arial" w:hAnsi="Arial" w:cs="Arial"/>
          <w:bCs/>
          <w:i/>
          <w:iCs/>
          <w:sz w:val="20"/>
          <w:szCs w:val="20"/>
        </w:rPr>
        <w:t>.</w:t>
      </w:r>
      <w:r w:rsidR="00026B20">
        <w:rPr>
          <w:rFonts w:ascii="Arial" w:hAnsi="Arial" w:cs="Arial"/>
          <w:bCs/>
          <w:i/>
          <w:iCs/>
          <w:sz w:val="20"/>
          <w:szCs w:val="20"/>
        </w:rPr>
        <w:t xml:space="preserve"> Il indique le cycle de vie s’il en est capable.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14:paraId="50D6976A" w14:textId="627B9A1F" w:rsidR="008C41FD" w:rsidRDefault="008C41FD" w:rsidP="008C41FD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lastRenderedPageBreak/>
        <w:t>Il indique</w:t>
      </w:r>
      <w:r w:rsidR="00026B20">
        <w:rPr>
          <w:rFonts w:ascii="Arial" w:hAnsi="Arial" w:cs="Arial"/>
          <w:bCs/>
          <w:i/>
          <w:iCs/>
          <w:sz w:val="20"/>
          <w:szCs w:val="20"/>
        </w:rPr>
        <w:t>,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026B20">
        <w:rPr>
          <w:rFonts w:ascii="Arial" w:hAnsi="Arial" w:cs="Arial"/>
          <w:bCs/>
          <w:i/>
          <w:iCs/>
          <w:sz w:val="20"/>
          <w:szCs w:val="20"/>
        </w:rPr>
        <w:t xml:space="preserve">par ailleurs, </w:t>
      </w:r>
      <w:r w:rsidR="00FA73A1" w:rsidRPr="00FA73A1">
        <w:rPr>
          <w:rFonts w:ascii="Arial" w:hAnsi="Arial" w:cs="Arial"/>
          <w:bCs/>
          <w:i/>
          <w:iCs/>
          <w:sz w:val="20"/>
          <w:szCs w:val="20"/>
        </w:rPr>
        <w:t xml:space="preserve">pour chaque référence produit, l’indice de réparabilité ou de durabilité associée, </w:t>
      </w:r>
      <w:r>
        <w:rPr>
          <w:rFonts w:ascii="Arial" w:hAnsi="Arial" w:cs="Arial"/>
          <w:bCs/>
          <w:i/>
          <w:iCs/>
          <w:sz w:val="20"/>
          <w:szCs w:val="20"/>
        </w:rPr>
        <w:t>le délai de disponibilité des consommables et pièces détachées</w:t>
      </w:r>
      <w:r w:rsidR="00FA73A1">
        <w:rPr>
          <w:rFonts w:ascii="Arial" w:hAnsi="Arial" w:cs="Arial"/>
          <w:bCs/>
          <w:i/>
          <w:iCs/>
          <w:sz w:val="20"/>
          <w:szCs w:val="20"/>
        </w:rPr>
        <w:t xml:space="preserve">. </w:t>
      </w:r>
    </w:p>
    <w:p w14:paraId="1F912412" w14:textId="77777777" w:rsidR="00FA73A1" w:rsidRPr="00FA73A1" w:rsidRDefault="00FA73A1" w:rsidP="008C41FD">
      <w:pPr>
        <w:jc w:val="both"/>
        <w:rPr>
          <w:rFonts w:ascii="Arial" w:hAnsi="Arial" w:cs="Arial"/>
          <w:bCs/>
          <w:sz w:val="20"/>
          <w:szCs w:val="20"/>
        </w:rPr>
      </w:pPr>
    </w:p>
    <w:p w14:paraId="05839AEE" w14:textId="77777777" w:rsidR="00FA73A1" w:rsidRPr="008C41FD" w:rsidRDefault="00FA73A1" w:rsidP="008C41FD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0793E8C2" w14:textId="09300257" w:rsidR="008C41FD" w:rsidRDefault="008C41FD" w:rsidP="008C41FD">
      <w:pPr>
        <w:pStyle w:val="Paragraphedeliste"/>
        <w:numPr>
          <w:ilvl w:val="1"/>
          <w:numId w:val="2"/>
        </w:numPr>
        <w:jc w:val="both"/>
        <w:rPr>
          <w:rFonts w:ascii="Arial" w:eastAsia="Times New Roman" w:hAnsi="Arial" w:cs="Arial"/>
          <w:b/>
          <w:caps/>
          <w:color w:val="0A0096"/>
          <w:kern w:val="0"/>
          <w:sz w:val="20"/>
          <w:szCs w:val="20"/>
          <w:lang w:eastAsia="fr-FR"/>
          <w14:ligatures w14:val="none"/>
        </w:rPr>
      </w:pPr>
      <w:r w:rsidRPr="008C41FD">
        <w:rPr>
          <w:rFonts w:ascii="Arial" w:eastAsia="Times New Roman" w:hAnsi="Arial" w:cs="Arial"/>
          <w:b/>
          <w:caps/>
          <w:color w:val="0A0096"/>
          <w:kern w:val="0"/>
          <w:sz w:val="20"/>
          <w:szCs w:val="20"/>
          <w:lang w:eastAsia="fr-FR"/>
          <w14:ligatures w14:val="none"/>
        </w:rPr>
        <w:t>Intégration des produits recyclés et/ou recyclabilité de l’ensemble</w:t>
      </w:r>
    </w:p>
    <w:p w14:paraId="5FFDDACB" w14:textId="1C85161F" w:rsidR="00026B20" w:rsidRPr="00026B20" w:rsidRDefault="00026B20" w:rsidP="00026B20">
      <w:pPr>
        <w:jc w:val="both"/>
        <w:rPr>
          <w:rFonts w:ascii="Arial" w:eastAsia="Times New Roman" w:hAnsi="Arial" w:cs="Arial"/>
          <w:b/>
          <w:caps/>
          <w:color w:val="0A0096"/>
          <w:kern w:val="0"/>
          <w:sz w:val="20"/>
          <w:szCs w:val="20"/>
          <w:lang w:eastAsia="fr-FR"/>
          <w14:ligatures w14:val="none"/>
        </w:rPr>
      </w:pPr>
      <w:r>
        <w:rPr>
          <w:rFonts w:ascii="Arial" w:hAnsi="Arial" w:cs="Arial"/>
          <w:bCs/>
          <w:i/>
          <w:iCs/>
          <w:sz w:val="20"/>
          <w:szCs w:val="20"/>
        </w:rPr>
        <w:t>Le soumissionnaire indique la qualité environnementale des matériaux entrant dans la composition de la fourniture et de ses accessoires.</w:t>
      </w:r>
    </w:p>
    <w:sectPr w:rsidR="00026B20" w:rsidRPr="00026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81942"/>
    <w:multiLevelType w:val="hybridMultilevel"/>
    <w:tmpl w:val="C7409534"/>
    <w:lvl w:ilvl="0" w:tplc="6032E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F31B09"/>
    <w:multiLevelType w:val="hybridMultilevel"/>
    <w:tmpl w:val="9650E1F8"/>
    <w:lvl w:ilvl="0" w:tplc="040C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9C42FCAC">
      <w:start w:val="1"/>
      <w:numFmt w:val="upperLetter"/>
      <w:lvlText w:val="%2."/>
      <w:lvlJc w:val="left"/>
      <w:pPr>
        <w:ind w:left="1440" w:hanging="360"/>
      </w:pPr>
      <w:rPr>
        <w:b/>
        <w:bCs w:val="0"/>
        <w:color w:val="0A0096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934887">
    <w:abstractNumId w:val="0"/>
  </w:num>
  <w:num w:numId="2" w16cid:durableId="1490438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A8C"/>
    <w:rsid w:val="00026B20"/>
    <w:rsid w:val="00086C80"/>
    <w:rsid w:val="00103739"/>
    <w:rsid w:val="00307CA7"/>
    <w:rsid w:val="0041409B"/>
    <w:rsid w:val="007F1D8E"/>
    <w:rsid w:val="00811765"/>
    <w:rsid w:val="008C41FD"/>
    <w:rsid w:val="0095376A"/>
    <w:rsid w:val="00A13802"/>
    <w:rsid w:val="00A6360F"/>
    <w:rsid w:val="00A86769"/>
    <w:rsid w:val="00AA0358"/>
    <w:rsid w:val="00C842EB"/>
    <w:rsid w:val="00D427BE"/>
    <w:rsid w:val="00D46923"/>
    <w:rsid w:val="00D55A8C"/>
    <w:rsid w:val="00E600D5"/>
    <w:rsid w:val="00E73780"/>
    <w:rsid w:val="00FA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E1F0"/>
  <w15:chartTrackingRefBased/>
  <w15:docId w15:val="{26AA98FC-3AFE-4CD5-9F4A-204BBAFE9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aliases w:val="Titre 1 Article 1,Article 1,Appendix 1,H1,Class Heading,Chapter,CHAPITRE,ARTICLE,Partie,Partie1,Partie2,Partie3,Partie4,Partie5,Partie6,Partie7,Partie8,Partie9,Partie10,Partie11,Partie21,Partie31,Partie41,Partie51,Partie61,Partie71"/>
    <w:basedOn w:val="Normal"/>
    <w:next w:val="Normal"/>
    <w:link w:val="Titre1Car"/>
    <w:uiPriority w:val="9"/>
    <w:qFormat/>
    <w:rsid w:val="00D55A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55A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55A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55A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55A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55A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55A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55A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55A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 Article 1 Car,Article 1 Car,Appendix 1 Car,H1 Car,Class Heading Car,Chapter Car,CHAPITRE Car,ARTICLE Car,Partie Car,Partie1 Car,Partie2 Car,Partie3 Car,Partie4 Car,Partie5 Car,Partie6 Car,Partie7 Car,Partie8 Car,Partie9 Car"/>
    <w:basedOn w:val="Policepardfaut"/>
    <w:link w:val="Titre1"/>
    <w:uiPriority w:val="9"/>
    <w:rsid w:val="00D55A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55A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55A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55A8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55A8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55A8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55A8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55A8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55A8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55A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55A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55A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55A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55A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55A8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55A8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55A8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55A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55A8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55A8C"/>
    <w:rPr>
      <w:b/>
      <w:bCs/>
      <w:smallCaps/>
      <w:color w:val="0F4761" w:themeColor="accent1" w:themeShade="BF"/>
      <w:spacing w:val="5"/>
    </w:rPr>
  </w:style>
  <w:style w:type="character" w:styleId="Marquedecommentaire">
    <w:name w:val="annotation reference"/>
    <w:basedOn w:val="Policepardfaut"/>
    <w:uiPriority w:val="99"/>
    <w:semiHidden/>
    <w:unhideWhenUsed/>
    <w:rsid w:val="00A1380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1380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1380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380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13802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8117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345</Words>
  <Characters>1902</Characters>
  <Application>Microsoft Office Word</Application>
  <DocSecurity>4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IRSN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RIGAL Marine</dc:creator>
  <cp:keywords/>
  <dc:description/>
  <cp:lastModifiedBy>RIGAL Marine</cp:lastModifiedBy>
  <cp:revision>2</cp:revision>
  <dcterms:created xsi:type="dcterms:W3CDTF">2026-02-13T13:53:00Z</dcterms:created>
  <dcterms:modified xsi:type="dcterms:W3CDTF">2026-02-13T13:53:00Z</dcterms:modified>
</cp:coreProperties>
</file>